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FC" w:rsidRPr="00C331FC" w:rsidRDefault="00C331FC" w:rsidP="00C331FC">
      <w:pPr>
        <w:jc w:val="center"/>
        <w:rPr>
          <w:sz w:val="48"/>
          <w:szCs w:val="48"/>
        </w:rPr>
      </w:pPr>
      <w:r w:rsidRPr="00C331FC">
        <w:rPr>
          <w:b/>
          <w:bCs/>
          <w:sz w:val="48"/>
          <w:szCs w:val="48"/>
        </w:rPr>
        <w:t>HQS guidelines for Unit size Selected</w:t>
      </w:r>
    </w:p>
    <w:p w:rsidR="00C331FC" w:rsidRDefault="00C331FC" w:rsidP="00C331FC">
      <w:pPr>
        <w:jc w:val="both"/>
        <w:rPr>
          <w:sz w:val="32"/>
          <w:szCs w:val="32"/>
        </w:rPr>
      </w:pPr>
      <w:r w:rsidRPr="00C331FC">
        <w:rPr>
          <w:sz w:val="32"/>
          <w:szCs w:val="32"/>
          <w:u w:val="single"/>
        </w:rPr>
        <w:t>Housing Quality Standards</w:t>
      </w:r>
      <w:r w:rsidRPr="00C331FC">
        <w:rPr>
          <w:sz w:val="32"/>
          <w:szCs w:val="32"/>
        </w:rPr>
        <w:t>:  The standards allow two persons per</w:t>
      </w:r>
      <w:r>
        <w:rPr>
          <w:sz w:val="32"/>
          <w:szCs w:val="32"/>
        </w:rPr>
        <w:t xml:space="preserve"> </w:t>
      </w:r>
      <w:r w:rsidRPr="00C331FC">
        <w:rPr>
          <w:sz w:val="32"/>
          <w:szCs w:val="32"/>
        </w:rPr>
        <w:t xml:space="preserve">living/sleeping room and permit maximum occupancy levels (assuming a living room is used as a living/sleeping area) as shown in the table above.  </w:t>
      </w:r>
    </w:p>
    <w:p w:rsidR="00C331FC" w:rsidRDefault="00C331FC" w:rsidP="00C331FC">
      <w:pPr>
        <w:jc w:val="both"/>
        <w:rPr>
          <w:sz w:val="32"/>
          <w:szCs w:val="32"/>
        </w:rPr>
      </w:pPr>
      <w:r w:rsidRPr="00C331FC">
        <w:rPr>
          <w:sz w:val="32"/>
          <w:szCs w:val="32"/>
        </w:rPr>
        <w:t xml:space="preserve">**The levels may be exceeded if a room in addition to bedrooms and living room is used for sleeping.  </w:t>
      </w:r>
    </w:p>
    <w:tbl>
      <w:tblPr>
        <w:tblStyle w:val="LightList"/>
        <w:tblW w:w="4854" w:type="dxa"/>
        <w:jc w:val="center"/>
        <w:tblLook w:val="04A0"/>
      </w:tblPr>
      <w:tblGrid>
        <w:gridCol w:w="2422"/>
        <w:gridCol w:w="2432"/>
      </w:tblGrid>
      <w:tr w:rsidR="007360CF" w:rsidRPr="00C331FC" w:rsidTr="00A40086">
        <w:trPr>
          <w:cnfStyle w:val="100000000000"/>
          <w:trHeight w:val="1534"/>
          <w:jc w:val="center"/>
        </w:trPr>
        <w:tc>
          <w:tcPr>
            <w:cnfStyle w:val="001000000000"/>
            <w:tcW w:w="2422" w:type="dxa"/>
            <w:hideMark/>
          </w:tcPr>
          <w:p w:rsidR="007360CF" w:rsidRDefault="007360CF" w:rsidP="00A40086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:rsidR="007360CF" w:rsidRDefault="007360CF" w:rsidP="00A40086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Unit Size</w:t>
            </w:r>
          </w:p>
        </w:tc>
        <w:tc>
          <w:tcPr>
            <w:tcW w:w="2432" w:type="dxa"/>
            <w:hideMark/>
          </w:tcPr>
          <w:p w:rsidR="007360CF" w:rsidRDefault="007360CF" w:rsidP="00A40086">
            <w:pPr>
              <w:jc w:val="center"/>
              <w:cnfStyle w:val="100000000000"/>
              <w:rPr>
                <w:b w:val="0"/>
                <w:bCs w:val="0"/>
                <w:sz w:val="32"/>
                <w:szCs w:val="32"/>
              </w:rPr>
            </w:pPr>
          </w:p>
          <w:p w:rsidR="007360CF" w:rsidRPr="00C331FC" w:rsidRDefault="007360CF" w:rsidP="00A40086">
            <w:pPr>
              <w:jc w:val="center"/>
              <w:cnfStyle w:val="1000000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Maximum #</w:t>
            </w:r>
          </w:p>
          <w:p w:rsidR="007360CF" w:rsidRPr="00C331FC" w:rsidRDefault="007360CF" w:rsidP="00A40086">
            <w:pPr>
              <w:jc w:val="center"/>
              <w:cnfStyle w:val="1000000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In Household</w:t>
            </w:r>
          </w:p>
        </w:tc>
      </w:tr>
      <w:tr w:rsidR="007360CF" w:rsidRPr="00C331FC" w:rsidTr="00A40086">
        <w:trPr>
          <w:cnfStyle w:val="000000100000"/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0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1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1</w:t>
            </w:r>
          </w:p>
        </w:tc>
      </w:tr>
      <w:tr w:rsidR="007360CF" w:rsidRPr="00C331FC" w:rsidTr="00A40086">
        <w:trPr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1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0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2</w:t>
            </w:r>
          </w:p>
        </w:tc>
      </w:tr>
      <w:tr w:rsidR="007360CF" w:rsidRPr="00C331FC" w:rsidTr="00A40086">
        <w:trPr>
          <w:cnfStyle w:val="000000100000"/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2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1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4</w:t>
            </w:r>
          </w:p>
        </w:tc>
      </w:tr>
      <w:tr w:rsidR="007360CF" w:rsidRPr="00C331FC" w:rsidTr="00A40086">
        <w:trPr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3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0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6</w:t>
            </w:r>
          </w:p>
        </w:tc>
      </w:tr>
      <w:tr w:rsidR="007360CF" w:rsidRPr="00C331FC" w:rsidTr="00A40086">
        <w:trPr>
          <w:cnfStyle w:val="000000100000"/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4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1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8</w:t>
            </w:r>
          </w:p>
        </w:tc>
      </w:tr>
      <w:tr w:rsidR="007360CF" w:rsidRPr="00C331FC" w:rsidTr="00A40086">
        <w:trPr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5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0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10</w:t>
            </w:r>
          </w:p>
        </w:tc>
      </w:tr>
      <w:tr w:rsidR="007360CF" w:rsidRPr="00C331FC" w:rsidTr="00A40086">
        <w:trPr>
          <w:cnfStyle w:val="000000100000"/>
          <w:trHeight w:val="808"/>
          <w:jc w:val="center"/>
        </w:trPr>
        <w:tc>
          <w:tcPr>
            <w:cnfStyle w:val="001000000000"/>
            <w:tcW w:w="2422" w:type="dxa"/>
            <w:hideMark/>
          </w:tcPr>
          <w:p w:rsidR="007360CF" w:rsidRPr="00C331FC" w:rsidRDefault="007360CF" w:rsidP="00A40086">
            <w:pPr>
              <w:jc w:val="center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6 BR</w:t>
            </w:r>
          </w:p>
        </w:tc>
        <w:tc>
          <w:tcPr>
            <w:tcW w:w="2432" w:type="dxa"/>
            <w:hideMark/>
          </w:tcPr>
          <w:p w:rsidR="007360CF" w:rsidRPr="00C331FC" w:rsidRDefault="007360CF" w:rsidP="00A40086">
            <w:pPr>
              <w:jc w:val="center"/>
              <w:cnfStyle w:val="000000100000"/>
              <w:rPr>
                <w:sz w:val="32"/>
                <w:szCs w:val="32"/>
              </w:rPr>
            </w:pPr>
            <w:r w:rsidRPr="00C331FC">
              <w:rPr>
                <w:sz w:val="32"/>
                <w:szCs w:val="32"/>
              </w:rPr>
              <w:t>12</w:t>
            </w:r>
          </w:p>
        </w:tc>
      </w:tr>
    </w:tbl>
    <w:p w:rsidR="00A40086" w:rsidRDefault="00A40086" w:rsidP="00C331FC"/>
    <w:p w:rsidR="00A40086" w:rsidRDefault="00A40086" w:rsidP="00C331FC"/>
    <w:p w:rsidR="00A76B57" w:rsidRPr="00A40086" w:rsidRDefault="00A76B57" w:rsidP="006B39D0">
      <w:pPr>
        <w:jc w:val="both"/>
        <w:rPr>
          <w:sz w:val="28"/>
          <w:szCs w:val="28"/>
        </w:rPr>
      </w:pPr>
      <w:r w:rsidRPr="00A40086">
        <w:rPr>
          <w:sz w:val="28"/>
          <w:szCs w:val="28"/>
        </w:rPr>
        <w:t xml:space="preserve">LMHA shall not require children of opposite sex, </w:t>
      </w:r>
      <w:r w:rsidRPr="00A40086">
        <w:rPr>
          <w:b/>
          <w:bCs/>
          <w:sz w:val="28"/>
          <w:szCs w:val="28"/>
        </w:rPr>
        <w:t>over the age of 5</w:t>
      </w:r>
      <w:r w:rsidRPr="00A40086">
        <w:rPr>
          <w:sz w:val="28"/>
          <w:szCs w:val="28"/>
        </w:rPr>
        <w:t xml:space="preserve"> to share a bedroom.</w:t>
      </w:r>
    </w:p>
    <w:p w:rsidR="00A76B57" w:rsidRDefault="00A76B57" w:rsidP="006B39D0">
      <w:pPr>
        <w:jc w:val="both"/>
      </w:pPr>
      <w:r w:rsidRPr="00A40086">
        <w:rPr>
          <w:sz w:val="28"/>
          <w:szCs w:val="28"/>
        </w:rPr>
        <w:t>LMHA shall not require children to share a bedroom with a parent, but the family shall have the option of allowing a child to share their bedroom should they so choose.  LMHA will issue a larger size voucher to same sex children where there is a generation gap of 10+ years</w:t>
      </w:r>
      <w:r w:rsidRPr="00A76B57">
        <w:t>.</w:t>
      </w:r>
    </w:p>
    <w:sectPr w:rsidR="00A76B57" w:rsidSect="00C331FC"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563"/>
    <w:multiLevelType w:val="hybridMultilevel"/>
    <w:tmpl w:val="038C5A7C"/>
    <w:lvl w:ilvl="0" w:tplc="A10E1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EB6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D4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420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B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06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E15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9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0FE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31FC"/>
    <w:rsid w:val="00654CD4"/>
    <w:rsid w:val="00697DF5"/>
    <w:rsid w:val="006B39D0"/>
    <w:rsid w:val="007360CF"/>
    <w:rsid w:val="008B7E4A"/>
    <w:rsid w:val="009D3B25"/>
    <w:rsid w:val="00A40086"/>
    <w:rsid w:val="00A76B57"/>
    <w:rsid w:val="00AD3D9B"/>
    <w:rsid w:val="00C331FC"/>
    <w:rsid w:val="00C75F7C"/>
    <w:rsid w:val="00C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400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Carter</dc:creator>
  <cp:lastModifiedBy>Debbie Carter</cp:lastModifiedBy>
  <cp:revision>4</cp:revision>
  <cp:lastPrinted>2014-04-04T14:30:00Z</cp:lastPrinted>
  <dcterms:created xsi:type="dcterms:W3CDTF">2014-06-25T14:27:00Z</dcterms:created>
  <dcterms:modified xsi:type="dcterms:W3CDTF">2016-11-09T14:41:00Z</dcterms:modified>
</cp:coreProperties>
</file>